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ABF8F" w:themeFill="accent6" w:themeFillTint="99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Măsura 8 - Investiţii în dezvoltarea zonelor împădurite şi în îmbunătăţirea viabilităţii pădurilor </w:t>
      </w:r>
    </w:p>
    <w:p>
      <w:pPr>
        <w:pStyle w:val="Normal"/>
        <w:shd w:val="clear" w:color="auto" w:fill="FABF8F" w:themeFill="accent6" w:themeFillTint="99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Schema de ajutor de stat - </w:t>
      </w:r>
      <w:r>
        <w:rPr>
          <w:rFonts w:eastAsia="宋体" w:cs="Times New Roman" w:ascii="Trebuchet MS" w:hAnsi="Trebuchet MS" w:eastAsiaTheme="majorEastAsia"/>
          <w:b/>
          <w:i/>
          <w:color w:val="000000"/>
          <w:kern w:val="2"/>
          <w:lang w:val="ro-RO"/>
        </w:rPr>
        <w:t>Sprijin pentru prima împădurire și crearea de suprafețe împădurite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u w:val="single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u w:val="single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u w:val="single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u w:val="single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u w:val="single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u w:val="single"/>
          <w:lang w:val="ro-RO"/>
        </w:rPr>
        <w:t>Informații referitoare la sprijinul acordat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u w:val="single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u w:val="single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Sprijinul financiar prin schema de ajutor de stat se acordă deținătorilor de terenuri agricole, în baza unui angajament pentru o perioadă de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12 ani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 și vizează crearea de: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Trupuri de pădure,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Perdele forestiere de protecție.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Sprijinul financiar se acordă ca valoare fixă, reprezentată de costuri standard pe hectar pentru împădurire și compensarea pierderilor de venit agricol, după cum urmează: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Prima de înfiinţare a plantaţiilor forestiere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, care acoperă şi costurile cu elaborarea proiectului tehnic de împădurire și împrejmuire a plantației, denumită 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Prima 1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,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Prima anuală acordată pe unitatea de suprafață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, pentru acoperirea costurilor de întreţinere (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maximum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6 ani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) și îngrijire a plantaţiei forestiere (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maximum 2 ani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), precum şi pentru compensarea pierderilor de venit agricol ca urmare a împăduririi, pentru o perioada de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12 ani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, denumită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Prima 2.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 </w:t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宋体" w:cs="Times New Roman" w:eastAsiaTheme="majorEastAsia"/>
          <w:color w:val="000000"/>
          <w:kern w:val="2"/>
          <w:sz w:val="24"/>
          <w:szCs w:val="24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Valoarea maximă a sprijinului public pentru o cerere de sprijin acordat în baza prezentei scheme este de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7.000.000 euro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, valorile costurilor standard acordate fiind prezentate în tabelul de mai jos, cu precizarea că valorile din paranteză sunt aplicabile beneficiarilor cu drept de deducere a TVA, conform legislației naționale aplicabile.</w:t>
      </w:r>
    </w:p>
    <w:p>
      <w:pPr>
        <w:pStyle w:val="Normal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宋体" w:cs="Times New Roman" w:eastAsiaTheme="majorEastAsia"/>
          <w:color w:val="000000"/>
          <w:kern w:val="2"/>
          <w:sz w:val="24"/>
          <w:szCs w:val="24"/>
          <w:lang w:val="ro-RO"/>
        </w:rPr>
      </w:pPr>
      <w:r>
        <w:rPr>
          <w:rFonts w:eastAsia="宋体" w:cs="Times New Roman" w:eastAsiaTheme="majorEastAsia" w:ascii="Times New Roman" w:hAnsi="Times New Roman"/>
          <w:color w:val="000000"/>
          <w:kern w:val="2"/>
          <w:sz w:val="24"/>
          <w:szCs w:val="24"/>
          <w:lang w:val="ro-RO"/>
        </w:rPr>
      </w:r>
    </w:p>
    <w:tbl>
      <w:tblPr>
        <w:tblW w:w="97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1701"/>
        <w:gridCol w:w="1276"/>
        <w:gridCol w:w="1276"/>
        <w:gridCol w:w="1276"/>
        <w:gridCol w:w="1275"/>
        <w:gridCol w:w="1276"/>
        <w:gridCol w:w="1280"/>
      </w:tblGrid>
      <w:tr>
        <w:trPr>
          <w:trHeight w:val="279" w:hRule="atLeast"/>
        </w:trPr>
        <w:tc>
          <w:tcPr>
            <w:tcW w:w="21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EUR/ha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Terenuri agricole</w:t>
            </w:r>
          </w:p>
        </w:tc>
        <w:tc>
          <w:tcPr>
            <w:tcW w:w="38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Terenuri neagricole</w:t>
            </w:r>
          </w:p>
        </w:tc>
      </w:tr>
      <w:tr>
        <w:trPr>
          <w:trHeight w:val="294" w:hRule="atLeast"/>
        </w:trPr>
        <w:tc>
          <w:tcPr>
            <w:tcW w:w="2122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Câmpie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Munte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Câmpie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Deal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Munte</w:t>
            </w:r>
          </w:p>
        </w:tc>
      </w:tr>
      <w:tr>
        <w:trPr>
          <w:trHeight w:val="294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Prima 1 (</w:t>
            </w:r>
            <w:r>
              <w:rPr>
                <w:rFonts w:eastAsia="Arial" w:cs="Times New Roman" w:ascii="Trebuchet MS" w:hAnsi="Trebuchet MS"/>
                <w:b/>
                <w:bCs/>
                <w:i/>
                <w:sz w:val="18"/>
                <w:szCs w:val="18"/>
                <w:lang w:val="ro-RO" w:eastAsia="ar-SA"/>
              </w:rPr>
              <w:t>rândul 1+rândul 2 + rândul 3</w:t>
            </w: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)</w:t>
            </w:r>
          </w:p>
        </w:tc>
      </w:tr>
      <w:tr>
        <w:trPr>
          <w:trHeight w:val="91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Proiect tehnic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 xml:space="preserve">Cost elaborare proiect tehnic de împădurire = VB + n </w:t>
            </w: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x</w:t>
            </w: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 xml:space="preserve"> VM </w:t>
            </w: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x</w:t>
            </w: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 xml:space="preserve"> 2%</w:t>
            </w: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, în care: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VB - 590 (476) euro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n (ha) - suprafaţa totală solicitată a fi împădurită în baza schemei de ajutor de stat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VM (euro) - 8.889 (7169) euro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Înfiinţare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3994 (3221)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2528 (2039)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2619 (2112)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4393 (3543)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2639 (2128)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2730 (2202)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Împrejmuire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2081 (1749)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2081 (1749)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2081 (1749)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2081 (1749)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2081 (1749)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2081 (1749)</w:t>
            </w:r>
          </w:p>
        </w:tc>
      </w:tr>
      <w:tr>
        <w:trPr>
          <w:trHeight w:val="259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BD4B4" w:themeFill="accent6" w:themeFillTint="66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/>
                <w:b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/>
                <w:bCs/>
                <w:sz w:val="18"/>
                <w:szCs w:val="18"/>
                <w:lang w:val="ro-RO" w:eastAsia="ar-SA"/>
              </w:rPr>
              <w:t>Prima 2* (</w:t>
            </w:r>
            <w:r>
              <w:rPr>
                <w:rFonts w:eastAsia="Arial" w:cs="Times New Roman" w:ascii="Trebuchet MS" w:hAnsi="Trebuchet MS"/>
                <w:b/>
                <w:bCs/>
                <w:i/>
                <w:sz w:val="18"/>
                <w:szCs w:val="18"/>
                <w:lang w:val="ro-RO" w:eastAsia="ar-SA"/>
              </w:rPr>
              <w:t>rândul 4…9 + rândul 10…11 + rândul 12)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</w:r>
          </w:p>
        </w:tc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Lucrări de întreţinere (maximum 6 ani)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Întreţinere anul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1138 (918)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1443 (1164)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487 (393)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1138 (918)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1443 (1164)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487 (393)</w:t>
            </w:r>
          </w:p>
        </w:tc>
      </w:tr>
      <w:tr>
        <w:trPr>
          <w:trHeight w:val="294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Întreţinere anul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2423 (1954)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1923 (1551)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1295 (1044)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2423 (1954)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1923 (1551)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1295 (1044)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Întreţinere anul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1671 (1348)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1438 (1160)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1198 (966)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1671 (1348)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1438 (1160)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1198 (966)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Întreţinere anul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899 (725)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834 (673)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109 (88)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899 (725)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 xml:space="preserve">834 (673)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109 (88)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Întreţinere anul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632 (510)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465 (375)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109 (88)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632 (510)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465 (375)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109 (88)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Întreţinere anul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632 (510)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465 (375)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55 (44)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632 (510)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465 (375)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55 (44)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</w:r>
          </w:p>
        </w:tc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Lucrări de îngrijire (2 ani)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Îngrijire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191 (154)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191 (154)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191 (154)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191 (154)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191 (154)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191 (154)</w:t>
            </w:r>
          </w:p>
        </w:tc>
      </w:tr>
      <w:tr>
        <w:trPr>
          <w:trHeight w:val="301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Îngrijire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157 (127)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157 (127)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262 (211)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157 (127)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157 (127)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262 (211)</w:t>
            </w:r>
          </w:p>
        </w:tc>
      </w:tr>
      <w:tr>
        <w:trPr>
          <w:trHeight w:val="275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</w:r>
          </w:p>
        </w:tc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Compensaţii pentru acoperirea pierderilor de venit agricol (12 ani) **</w:t>
            </w:r>
          </w:p>
        </w:tc>
      </w:tr>
      <w:tr>
        <w:trPr>
          <w:trHeight w:val="279" w:hRule="atLeast"/>
        </w:trPr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Marja netă standard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* Beneficiarii care sunt eligibili pentru orice componentă a Primei 2 trebuie să respecte normele privind eco-condiționalitatea pe toate terenurile agricole aparținând exploatației agricole și pe toată perioada angajamentului.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rebuchet MS" w:hAnsi="Trebuchet MS" w:eastAsia="Arial" w:cs="Times New Roman"/>
                <w:bCs/>
                <w:sz w:val="18"/>
                <w:szCs w:val="18"/>
                <w:lang w:val="ro-RO" w:eastAsia="ar-SA"/>
              </w:rPr>
            </w:pPr>
            <w:r>
              <w:rPr>
                <w:rFonts w:eastAsia="Arial" w:cs="Times New Roman" w:ascii="Trebuchet MS" w:hAnsi="Trebuchet MS"/>
                <w:bCs/>
                <w:sz w:val="18"/>
                <w:szCs w:val="18"/>
                <w:lang w:val="ro-RO" w:eastAsia="ar-SA"/>
              </w:rPr>
              <w:t>** Numai beneficiarii deţinători de terenuri agricole, încadraţi în categoria fermierilor activi la momentul depunerii cererii de sprijin, pot beneficia de compensația pentru acoperirea pierderilor de venit agricol.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Beneficiarii schemei de ajutor de stat care doresc împădurirea de terenuri agricole proprietate a statului sau a unităţilor administrativ-teritoriale (UAT) </w:t>
      </w:r>
      <w:r>
        <w:rPr>
          <w:rFonts w:eastAsia="宋体" w:cs="Times New Roman" w:ascii="Trebuchet MS" w:hAnsi="Trebuchet MS" w:eastAsiaTheme="majorEastAsia"/>
          <w:color w:val="000000"/>
          <w:kern w:val="2"/>
          <w:u w:val="single"/>
          <w:lang w:val="ro-RO"/>
        </w:rPr>
        <w:t>beneficiază numai de sprijinul acordat în baza Primei 1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. În cazul terenurilor aflate în proprietatea statului, sprijinul se poate acorda doar dacă autoritatea care gestionează respectivele terenuri este un organism privat sau o unitate administrativ teritorială (UAT) de nivel LAU 2 (comune, oraşe, municipii).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Intensitatea sprijinului public nerambursabil este de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100%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 din totalul costurilor eligibile.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Suprafețele terenurilor propuse spre împădurire trebuie să fie de cel puțin 1 ha pentru trupurile de pădure și de cel puțin 0,5 ha pentru perdelele forestiere.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Terenurile din categoria </w:t>
      </w:r>
      <w:r>
        <w:rPr>
          <w:rFonts w:eastAsia="宋体" w:cs="Times New Roman" w:ascii="Trebuchet MS" w:hAnsi="Trebuchet MS" w:eastAsiaTheme="majorEastAsia"/>
          <w:i/>
          <w:color w:val="000000"/>
          <w:kern w:val="2"/>
          <w:lang w:val="ro-RO"/>
        </w:rPr>
        <w:t>pajiştilor naturale permanente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 (cu excepția celor afectate, conform proiectului tehnic de împădurire, de fenomene de degradare a solului), precum și </w:t>
      </w:r>
      <w:r>
        <w:rPr>
          <w:rFonts w:eastAsia="宋体" w:cs="Times New Roman" w:ascii="Trebuchet MS" w:hAnsi="Trebuchet MS" w:eastAsiaTheme="majorEastAsia"/>
          <w:i/>
          <w:color w:val="000000"/>
          <w:kern w:val="2"/>
          <w:lang w:val="ro-RO"/>
        </w:rPr>
        <w:t>terenurile agricole pentru care există angajamente în derulare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 pentru agro-mediu şi climă (Măsura 10) și agricultură ecologică (Măsura 11),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nu sunt eligibile pentru sprijin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eastAsia="宋体" w:cs="Times New Roman" w:eastAsiaTheme="majorEastAsia"/>
          <w:b/>
          <w:b/>
          <w:color w:val="000000"/>
          <w:kern w:val="2"/>
          <w:u w:val="single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u w:val="single"/>
          <w:lang w:val="ro-RO"/>
        </w:rPr>
        <w:t>Pași de parcurs pentru accesarea schemei de ajutor de stat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lang w:val="ro-RO"/>
        </w:rPr>
      </w:r>
    </w:p>
    <w:p>
      <w:pPr>
        <w:pStyle w:val="Normal"/>
        <w:shd w:val="clear" w:color="auto" w:fill="FBD4B4" w:themeFill="accent6" w:themeFillTint="66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1. Etape premergătoare depunerii cererii de sprijin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textAlignment w:val="baseline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Identificarea cu sprijinul APIA a suprafeţelor care urmează a fi împădurite, 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textAlignment w:val="baseline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Elaborarea proiectului tehnic de împădurire de către persoane fizice sau persoane juridice de specialitate atestate (</w:t>
      </w:r>
      <w:r>
        <w:rPr>
          <w:rFonts w:eastAsia="宋体" w:cs="Times New Roman" w:ascii="Trebuchet MS" w:hAnsi="Trebuchet MS" w:eastAsiaTheme="majorEastAsia"/>
          <w:i/>
          <w:color w:val="000000"/>
          <w:kern w:val="2"/>
          <w:lang w:val="ro-RO"/>
        </w:rPr>
        <w:t>costurile aferente acestor servicii se vor plăti la prima cerere de plată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),</w:t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jc w:val="both"/>
        <w:textAlignment w:val="baseline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Obţinerea avizului Gărzii Forestiere pentru proiectul tehnic de împădurire.</w:t>
      </w:r>
    </w:p>
    <w:p>
      <w:pPr>
        <w:pStyle w:val="Normal"/>
        <w:spacing w:lineRule="auto" w:line="240" w:before="0" w:after="0"/>
        <w:ind w:left="360" w:hanging="0"/>
        <w:contextualSpacing/>
        <w:jc w:val="both"/>
        <w:textAlignment w:val="baseline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hd w:val="clear" w:color="auto" w:fill="FBD4B4" w:themeFill="accent6" w:themeFillTint="66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2. Etape aferente depunerii cererii de sprijin, selectării beneficiarilor și semnării angajamentelor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Depunerea cererii de sprijin la centrele județene APIA,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Evaluarea cererii de sprijin de către experții APIA,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Selecția beneficiarilor în funcție de punctajul acordat (</w:t>
      </w:r>
      <w:r>
        <w:rPr>
          <w:rFonts w:eastAsia="宋体" w:cs="Times New Roman" w:ascii="Trebuchet MS" w:hAnsi="Trebuchet MS" w:eastAsiaTheme="majorEastAsia"/>
          <w:i/>
          <w:color w:val="000000"/>
          <w:kern w:val="2"/>
          <w:lang w:val="ro-RO"/>
        </w:rPr>
        <w:t>în cazul în care valoarea proiectelor depuse  depășește alocarea financiară a sesiunii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Semnarea angajamentelor de către beneficiarii selectați.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lang w:val="ro-RO"/>
        </w:rPr>
      </w:r>
    </w:p>
    <w:p>
      <w:pPr>
        <w:pStyle w:val="Normal"/>
        <w:shd w:val="clear" w:color="auto" w:fill="FBD4B4" w:themeFill="accent6" w:themeFillTint="66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>3. Etape aferente implementării angajamentului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Demararea lucrărilor de împădurire (</w:t>
      </w:r>
      <w:r>
        <w:rPr>
          <w:rFonts w:eastAsia="宋体" w:cs="Times New Roman" w:ascii="Trebuchet MS" w:hAnsi="Trebuchet MS" w:eastAsiaTheme="majorEastAsia"/>
          <w:i/>
          <w:color w:val="000000"/>
          <w:kern w:val="2"/>
          <w:lang w:val="ro-RO"/>
        </w:rPr>
        <w:t>numai după semnarea angajamentului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),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Depunerea anuală a cererilor de plată pentru solicitarea sprijinului,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Verificarea administrativă și pe teren de către APIA/Garda forestieră a lucrărilor efectuate și a respectării condițiilor prevăzute în angajament,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Plata către beneficiar  a sprijinului.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b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În sprijinul potențialilor beneficiari, APIA a dezvoltat o aplicație electronică pentru depunerea online a cererii de sprijin. Aceasta poate fi accesată din pagina principală a site-ului APIA </w:t>
      </w:r>
      <w:hyperlink r:id="rId2">
        <w:r>
          <w:rPr>
            <w:rStyle w:val="InternetLink"/>
            <w:rFonts w:eastAsia="宋体" w:cs="Times New Roman" w:ascii="Trebuchet MS" w:hAnsi="Trebuchet MS" w:eastAsiaTheme="majorEastAsia"/>
            <w:b/>
            <w:kern w:val="2"/>
            <w:lang w:val="ro-RO"/>
          </w:rPr>
          <w:t>www.apia.org.ro</w:t>
        </w:r>
      </w:hyperlink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 şi este însoţită de instrucţiuni de utilizare.</w:t>
      </w: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 xml:space="preserve">Informațiile detaliate pentru accesarea schemei de ajutor de stat pot fi consultate la centrele județene/locale ale APIA, respectiv în Ghidul solicitantului și documentele de implementare publicate pe site-ul APIA </w:t>
      </w:r>
      <w:hyperlink r:id="rId3">
        <w:r>
          <w:rPr>
            <w:rStyle w:val="InternetLink"/>
            <w:rFonts w:eastAsia="宋体" w:cs="Times New Roman" w:ascii="Trebuchet MS" w:hAnsi="Trebuchet MS" w:eastAsiaTheme="majorEastAsia"/>
            <w:kern w:val="2"/>
            <w:lang w:val="ro-RO"/>
          </w:rPr>
          <w:t>www.apia.org.ro</w:t>
        </w:r>
      </w:hyperlink>
      <w:r>
        <w:rPr>
          <w:rFonts w:eastAsia="宋体" w:cs="Times New Roman" w:ascii="Trebuchet MS" w:hAnsi="Trebuchet MS" w:eastAsiaTheme="majorEastAsia"/>
          <w:color w:val="000000"/>
          <w:kern w:val="2"/>
          <w:lang w:val="ro-RO"/>
        </w:rPr>
        <w:t>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color w:val="000000"/>
          <w:kern w:val="2"/>
          <w:lang w:val="ro-RO"/>
        </w:rPr>
      </w:pPr>
      <w:r>
        <w:rPr>
          <w:rFonts w:eastAsia="宋体" w:cs="Times New Roman" w:eastAsiaTheme="majorEastAsia" w:ascii="Trebuchet MS" w:hAnsi="Trebuchet MS"/>
          <w:color w:val="000000"/>
          <w:kern w:val="2"/>
          <w:lang w:val="ro-RO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宋体" w:cs="Times New Roman" w:eastAsiaTheme="majorEastAsia"/>
          <w:b/>
          <w:b/>
          <w:color w:val="000000"/>
          <w:kern w:val="2"/>
          <w:lang w:val="ro-RO"/>
        </w:rPr>
      </w:pP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Sesiunea 5 de depunere a cererilor de sprijin pentru accesarea schemei de ajutor de stat se va desfășura în perioada 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shd w:fill="FBD4B4" w:val="clear"/>
          <w:lang w:val="ro-RO"/>
        </w:rPr>
        <w:t>20 iulie – 11 decembrie 2020</w:t>
      </w:r>
      <w:r>
        <w:rPr>
          <w:rFonts w:eastAsia="宋体" w:cs="Times New Roman" w:ascii="Trebuchet MS" w:hAnsi="Trebuchet MS" w:eastAsiaTheme="majorEastAsia"/>
          <w:b/>
          <w:color w:val="000000"/>
          <w:kern w:val="2"/>
          <w:lang w:val="ro-RO"/>
        </w:rPr>
        <w:t xml:space="preserve">, alocarea financiară fiind de 10.000.000 euro.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宋体" w:cs="Times New Roman" w:eastAsiaTheme="majorEastAsia"/>
          <w:b/>
          <w:b/>
          <w:color w:val="000000"/>
          <w:kern w:val="2"/>
          <w:sz w:val="24"/>
          <w:szCs w:val="24"/>
          <w:lang w:val="ro-RO"/>
        </w:rPr>
      </w:pPr>
      <w:r>
        <w:rPr>
          <w:rFonts w:eastAsia="宋体" w:cs="Times New Roman" w:eastAsiaTheme="majorEastAsia" w:ascii="Times New Roman" w:hAnsi="Times New Roman"/>
          <w:b/>
          <w:color w:val="000000"/>
          <w:kern w:val="2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宋体" w:cs="Times New Roman" w:eastAsiaTheme="majorEastAsia"/>
          <w:b/>
          <w:b/>
          <w:color w:val="000000"/>
          <w:kern w:val="2"/>
          <w:sz w:val="24"/>
          <w:szCs w:val="24"/>
          <w:lang w:val="ro-RO"/>
        </w:rPr>
      </w:pPr>
      <w:r>
        <w:rPr>
          <w:rFonts w:eastAsia="宋体" w:cs="Times New Roman" w:eastAsiaTheme="majorEastAsia" w:ascii="Times New Roman" w:hAnsi="Times New Roman"/>
          <w:b/>
          <w:color w:val="000000"/>
          <w:kern w:val="2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宋体" w:cs="Times New Roman" w:eastAsiaTheme="majorEastAsia"/>
          <w:b/>
          <w:b/>
          <w:color w:val="000000"/>
          <w:kern w:val="2"/>
          <w:sz w:val="24"/>
          <w:szCs w:val="24"/>
          <w:lang w:val="ro-RO"/>
        </w:rPr>
      </w:pPr>
      <w:r>
        <w:rPr>
          <w:rFonts w:eastAsia="宋体" w:cs="Times New Roman" w:eastAsiaTheme="majorEastAsia" w:ascii="Times New Roman" w:hAnsi="Times New Roman"/>
          <w:b/>
          <w:color w:val="000000"/>
          <w:kern w:val="2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宋体" w:cs="Times New Roman" w:eastAsiaTheme="majorEastAsia"/>
          <w:b/>
          <w:b/>
          <w:color w:val="000000"/>
          <w:kern w:val="2"/>
          <w:sz w:val="24"/>
          <w:szCs w:val="24"/>
          <w:lang w:val="ro-RO"/>
        </w:rPr>
      </w:pPr>
      <w:r>
        <w:rPr>
          <w:rFonts w:eastAsia="宋体" w:cs="Times New Roman" w:eastAsiaTheme="majorEastAsia" w:ascii="Times New Roman" w:hAnsi="Times New Roman"/>
          <w:b/>
          <w:color w:val="000000"/>
          <w:kern w:val="2"/>
          <w:sz w:val="24"/>
          <w:szCs w:val="24"/>
          <w:lang w:val="ro-RO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宋体" w:cs="Times New Roman" w:eastAsiaTheme="majorEastAsia"/>
          <w:b/>
          <w:b/>
          <w:color w:val="000000"/>
          <w:kern w:val="2"/>
          <w:sz w:val="24"/>
          <w:szCs w:val="24"/>
          <w:lang w:val="ro-RO"/>
        </w:rPr>
      </w:pPr>
      <w:r>
        <w:rPr>
          <w:rFonts w:eastAsia="宋体" w:cs="Times New Roman" w:eastAsiaTheme="majorEastAsia" w:ascii="Times New Roman" w:hAnsi="Times New Roman"/>
          <w:b/>
          <w:color w:val="000000"/>
          <w:kern w:val="2"/>
          <w:sz w:val="24"/>
          <w:szCs w:val="24"/>
          <w:lang w:val="ro-RO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f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b6ff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6f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pia.org.ro/" TargetMode="External"/><Relationship Id="rId3" Type="http://schemas.openxmlformats.org/officeDocument/2006/relationships/hyperlink" Target="http://www.apia.org.r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2</Pages>
  <Words>947</Words>
  <Characters>5349</Characters>
  <CharactersWithSpaces>6152</CharactersWithSpaces>
  <Paragraphs>142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2020-07-06T14:36:00Z</dcterms:created>
  <dc:creator>DGDR- SMMC</dc:creator>
  <dc:description/>
  <dc:language>en-GB</dc:language>
  <cp:lastModifiedBy>User</cp:lastModifiedBy>
  <cp:lastPrinted>2020-07-14T09:49:40Z</cp:lastPrinted>
  <dcterms:modified xsi:type="dcterms:W3CDTF">2020-07-06T14:36:00Z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