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85"/>
        <w:gridCol w:w="351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8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Durata de completare a formularului: </w:t>
            </w:r>
            <w:r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 xml:space="preserve"> min.</w:t>
            </w:r>
          </w:p>
        </w:tc>
        <w:tc>
          <w:tcPr>
            <w:tcW w:w="351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EMITEREA AVIZULUI PRIMARULUI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 - Instituția Arhitectului-Șef a județului / mun. București</w:t>
        <w:br/>
        <w:t>3. SITUAȚIA LEGALĂ DIN COD: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b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art. 41 alin. (3) - avizul primarului la consultare reciprocă PUZ pe teritoriul mai multor UAT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art. 69 alin. (3) - aviz prealabil primar pentru aviz de inițiere PUZ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art. 304 alin. (3) - aviz prealabil primar pentru emitere AC/AD de către Președintele CJ</w:t>
      </w:r>
    </w:p>
    <w:p>
      <w:pPr>
        <w:pStyle w:val="Normal"/>
        <w:rPr/>
      </w:pPr>
      <w:r>
        <w:rPr>
          <w:b/>
        </w:rPr>
        <w:t>4.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>6.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Arhitectul-șef: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180340</wp:posOffset>
          </wp:positionH>
          <wp:positionV relativeFrom="paragraph">
            <wp:posOffset>-160020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180340</wp:posOffset>
          </wp:positionH>
          <wp:positionV relativeFrom="paragraph">
            <wp:posOffset>-160020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189</Words>
  <Characters>1573</Characters>
  <CharactersWithSpaces>1767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2026-09-01T11:14:35Z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