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DCBE"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„Bună ziua,</w:t>
      </w:r>
    </w:p>
    <w:p w14:paraId="55E8508B"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4C66D783" w14:textId="008796BC" w:rsidR="00541ADD" w:rsidRPr="00541ADD" w:rsidRDefault="00541ADD" w:rsidP="00541ADD">
      <w:pPr>
        <w:spacing w:after="0" w:line="276" w:lineRule="auto"/>
        <w:rPr>
          <w:rFonts w:asciiTheme="majorHAnsi" w:hAnsiTheme="majorHAnsi" w:cstheme="majorHAnsi"/>
          <w:b/>
          <w:bCs/>
          <w:color w:val="4472C4" w:themeColor="accent1"/>
          <w:lang w:val="pt-BR"/>
        </w:rPr>
      </w:pPr>
      <w:r>
        <w:rPr>
          <w:rFonts w:asciiTheme="majorHAnsi" w:hAnsiTheme="majorHAnsi" w:cstheme="majorHAnsi"/>
          <w:b/>
          <w:bCs/>
          <w:color w:val="4472C4" w:themeColor="accent1"/>
          <w:lang w:val="pt-BR"/>
        </w:rPr>
        <w:tab/>
      </w:r>
      <w:r w:rsidRPr="00541ADD">
        <w:rPr>
          <w:rFonts w:asciiTheme="majorHAnsi" w:hAnsiTheme="majorHAnsi" w:cstheme="majorHAnsi"/>
          <w:b/>
          <w:bCs/>
          <w:color w:val="4472C4" w:themeColor="accent1"/>
          <w:lang w:val="pt-BR"/>
        </w:rPr>
        <w:t>Ce face ca o masă într-un sat să devină mai mult decât o experiență culinară? Poate fi o rețetă păstrată în familie, un ingredient din grădină, o poveste spusă la masă, un producător local, un meșteșug, un obicei sau felul în care gazda te ajută să înțelegi mai bine locul în care ai ajuns.</w:t>
      </w:r>
    </w:p>
    <w:p w14:paraId="20668F76" w14:textId="6CAE5108" w:rsidR="00541ADD" w:rsidRPr="00541ADD" w:rsidRDefault="00541ADD" w:rsidP="00541ADD">
      <w:pPr>
        <w:spacing w:after="0" w:line="276" w:lineRule="auto"/>
        <w:rPr>
          <w:rFonts w:asciiTheme="majorHAnsi" w:hAnsiTheme="majorHAnsi" w:cstheme="majorHAnsi"/>
          <w:b/>
          <w:bCs/>
          <w:color w:val="4472C4" w:themeColor="accent1"/>
          <w:lang w:val="pt-BR"/>
        </w:rPr>
      </w:pPr>
      <w:r>
        <w:rPr>
          <w:rFonts w:asciiTheme="majorHAnsi" w:hAnsiTheme="majorHAnsi" w:cstheme="majorHAnsi"/>
          <w:b/>
          <w:bCs/>
          <w:color w:val="4472C4" w:themeColor="accent1"/>
          <w:lang w:val="pt-BR"/>
        </w:rPr>
        <w:tab/>
      </w:r>
      <w:r w:rsidRPr="00541ADD">
        <w:rPr>
          <w:rFonts w:asciiTheme="majorHAnsi" w:hAnsiTheme="majorHAnsi" w:cstheme="majorHAnsi"/>
          <w:b/>
          <w:bCs/>
          <w:color w:val="4472C4" w:themeColor="accent1"/>
          <w:lang w:val="pt-BR"/>
        </w:rPr>
        <w:t>Pornind de aici, am lansat înscrierile pentru programul Puncte Gastronomice Locale – Călăuze de Tradiții Creative 2026, dedicat PGL-urilor care transformă gastronomia locală într-o experiență culturală, legată de poveștile, oamenii și identitatea locului.</w:t>
      </w:r>
    </w:p>
    <w:p w14:paraId="199A77AA"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55ED6769" w14:textId="76679C96" w:rsidR="00541ADD" w:rsidRPr="00541ADD" w:rsidRDefault="00541ADD" w:rsidP="00541ADD">
      <w:pPr>
        <w:spacing w:after="0" w:line="276" w:lineRule="auto"/>
        <w:rPr>
          <w:rFonts w:asciiTheme="majorHAnsi" w:hAnsiTheme="majorHAnsi" w:cstheme="majorHAnsi"/>
          <w:b/>
          <w:bCs/>
          <w:color w:val="4472C4" w:themeColor="accent1"/>
          <w:lang w:val="pt-BR"/>
        </w:rPr>
      </w:pPr>
      <w:r>
        <w:rPr>
          <w:rFonts w:asciiTheme="majorHAnsi" w:hAnsiTheme="majorHAnsi" w:cstheme="majorHAnsi"/>
          <w:b/>
          <w:bCs/>
          <w:color w:val="4472C4" w:themeColor="accent1"/>
          <w:lang w:val="pt-BR"/>
        </w:rPr>
        <w:tab/>
      </w:r>
      <w:r w:rsidRPr="00541ADD">
        <w:rPr>
          <w:rFonts w:asciiTheme="majorHAnsi" w:hAnsiTheme="majorHAnsi" w:cstheme="majorHAnsi"/>
          <w:b/>
          <w:bCs/>
          <w:color w:val="4472C4" w:themeColor="accent1"/>
          <w:lang w:val="pt-BR"/>
        </w:rPr>
        <w:t>Ne uităm către acele Puncte Gastronomice Locale care nu sunt doar locuri unde se mănâncă bine, ci spații în care patrimoniul local este adus în prezent cu grijă, creativitate și respect față de comunitate.</w:t>
      </w:r>
    </w:p>
    <w:p w14:paraId="0FA4F8E5"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46ED2330" w14:textId="7FEF1575" w:rsidR="00541ADD" w:rsidRPr="00541ADD" w:rsidRDefault="00541ADD" w:rsidP="00541ADD">
      <w:pPr>
        <w:spacing w:after="0" w:line="276" w:lineRule="auto"/>
        <w:rPr>
          <w:rFonts w:asciiTheme="majorHAnsi" w:hAnsiTheme="majorHAnsi" w:cstheme="majorHAnsi"/>
          <w:b/>
          <w:bCs/>
          <w:color w:val="4472C4" w:themeColor="accent1"/>
          <w:lang w:val="pt-BR"/>
        </w:rPr>
      </w:pPr>
      <w:r>
        <w:rPr>
          <w:rFonts w:asciiTheme="majorHAnsi" w:hAnsiTheme="majorHAnsi" w:cstheme="majorHAnsi"/>
          <w:b/>
          <w:bCs/>
          <w:color w:val="4472C4" w:themeColor="accent1"/>
          <w:lang w:val="pt-BR"/>
        </w:rPr>
        <w:tab/>
      </w:r>
      <w:r w:rsidRPr="00541ADD">
        <w:rPr>
          <w:rFonts w:asciiTheme="majorHAnsi" w:hAnsiTheme="majorHAnsi" w:cstheme="majorHAnsi"/>
          <w:b/>
          <w:bCs/>
          <w:color w:val="4472C4" w:themeColor="accent1"/>
          <w:lang w:val="pt-BR"/>
        </w:rPr>
        <w:t>Modelul de Călăuză de Tradiții Creative se construiește în jurul a patru piloni:</w:t>
      </w:r>
    </w:p>
    <w:p w14:paraId="126BB28B"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Gastronomie – rețete tradiționale, ingrediente locale și practici sustenabile</w:t>
      </w:r>
    </w:p>
    <w:p w14:paraId="48AD4A9F"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Cultură – povești, obiceiuri, tradiții și identitatea locului</w:t>
      </w:r>
    </w:p>
    <w:p w14:paraId="3B14A495"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Comunitate – colaborare cu producători, meșteșugari, operatori de turism și alți actori locali</w:t>
      </w:r>
    </w:p>
    <w:p w14:paraId="21FAB468"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Spirit antreprenorial – capacitatea de a construi un model viabil, pregătit pentru viitor</w:t>
      </w:r>
    </w:p>
    <w:p w14:paraId="29E7D02D"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3D2A1262"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Criteriile complete care definesc Călăuzele de Tradiții Creative sunt disponibile aici. </w:t>
      </w:r>
    </w:p>
    <w:p w14:paraId="121010BF"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17365989"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Cum te înscrii</w:t>
      </w:r>
    </w:p>
    <w:p w14:paraId="1B159D83"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27485BAB"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xml:space="preserve">PGL-urile interesate sunt invitate să completeze </w:t>
      </w:r>
      <w:hyperlink r:id="rId4" w:tgtFrame="_blank" w:history="1">
        <w:r w:rsidRPr="00541ADD">
          <w:rPr>
            <w:rStyle w:val="Hyperlink"/>
            <w:rFonts w:asciiTheme="majorHAnsi" w:hAnsiTheme="majorHAnsi" w:cstheme="majorHAnsi"/>
            <w:b/>
            <w:bCs/>
            <w:color w:val="4472C4" w:themeColor="accent1"/>
            <w:lang w:val="pt-BR"/>
          </w:rPr>
          <w:t>chestionarul de autoevaluare</w:t>
        </w:r>
      </w:hyperlink>
      <w:r w:rsidRPr="00541ADD">
        <w:rPr>
          <w:rFonts w:asciiTheme="majorHAnsi" w:hAnsiTheme="majorHAnsi" w:cstheme="majorHAnsi"/>
          <w:b/>
          <w:bCs/>
          <w:color w:val="4472C4" w:themeColor="accent1"/>
          <w:lang w:val="pt-BR"/>
        </w:rPr>
        <w:t>, primul pas către viitorul program de mentorat și sprijin.</w:t>
      </w:r>
    </w:p>
    <w:p w14:paraId="1DF187FD"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55FAB8B8"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Chestionarul îi ajută pe operatorii PGL să înțeleagă unde se află în prezent și ce oportunități de dezvoltare există pentru activitatea lor.</w:t>
      </w:r>
    </w:p>
    <w:p w14:paraId="0E8D5372"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5EC705C4"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Răspunsurile colectate vor contribui la înțelegerea situației actuale a PGL-urilor din România și la identificarea celor interesate să se alăture viitorului program de mentorat.</w:t>
      </w:r>
    </w:p>
    <w:p w14:paraId="143529BD"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568F02F6"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Termen limită: 3 iulie 2026, ora 18:00. </w:t>
      </w:r>
    </w:p>
    <w:p w14:paraId="47718643"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69388B95"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Ce urmează?</w:t>
      </w:r>
    </w:p>
    <w:p w14:paraId="394FCBC4"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4548E29D"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lastRenderedPageBreak/>
        <w:t>Rezultatele chestionarului vor fi prezentate în cadrul Conferinței dedicate Punctelor Gastronomice Locale, organizată între 15 și 18 iulie, la Muzeul ASTRA Sibiu, în cadrul Festivalului ASTRA Multicultural. </w:t>
      </w:r>
    </w:p>
    <w:p w14:paraId="182A74A8"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2FCA1FC8"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La Sibiu vor fi premiate cele 8 Puncte Gastronomice Locale care au întrunit criteriile pentru a deveni</w:t>
      </w:r>
    </w:p>
    <w:p w14:paraId="783211D2"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Călăuze de Tradiții Creative 2026. Acestea vor fi invitate să participe la Festival și la Târgul PGL-urilor asociat evenimentului, unde vor putea prezenta rețetele, produsele și poveștile comunităților pe care le reprezintă.</w:t>
      </w:r>
    </w:p>
    <w:p w14:paraId="33E2A126"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184CEC06"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Tot la Sibiu lansăm:</w:t>
      </w:r>
    </w:p>
    <w:p w14:paraId="68BB2530" w14:textId="60834833"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Ghidul de Bune Practici pentru Punctele Gastronomice Locale — un instrument practic care descrie ce înseamnă să devii Călăuză de Tradiții Creative și cum poate un PGL să își ducă activitatea dincolo de simpla servire a mesei. Ghidul reunește criterii, exemple de bună practică și recomandări construite pornind de la experiența PGL-urilor care au demonstrat deja că gastronomia și identitatea locală pot deveni un reper cultural și fundamentul unui model de succes economic pe termen lung.</w:t>
      </w:r>
    </w:p>
    <w:p w14:paraId="70D16172" w14:textId="1DB915BA"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Programul de mentorat — primele opt PGL-uri premiate anul trecut la nivel național vor prelua rolul de Mentori, împărtășind experiența lor cu noile PGL-uri Călăuze. Alături de ei, programul reunește experți din domenii relevante pentru dezvoltarea unui Punct Gastronomic Local, de la gastronomie și siguranță alimentară până la patrimoniu cultural, antreprenoriat, marketing și turism. Împreună, aceștia vor contribui la crearea unui cadru de învățare și sprijin care să îi ajute pe participanți să își consolideze activitatea și să valorifice mai bine resursele locale.</w:t>
      </w:r>
    </w:p>
    <w:p w14:paraId="2B944B93"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7324154D"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Lista PGL-urilor premiate anul trecut este </w:t>
      </w:r>
      <w:hyperlink r:id="rId5" w:tgtFrame="_blank" w:history="1">
        <w:r w:rsidRPr="00541ADD">
          <w:rPr>
            <w:rStyle w:val="Hyperlink"/>
            <w:rFonts w:asciiTheme="majorHAnsi" w:hAnsiTheme="majorHAnsi" w:cstheme="majorHAnsi"/>
            <w:b/>
            <w:bCs/>
            <w:color w:val="4472C4" w:themeColor="accent1"/>
            <w:lang w:val="pt-BR"/>
          </w:rPr>
          <w:t>aici</w:t>
        </w:r>
      </w:hyperlink>
      <w:r w:rsidRPr="00541ADD">
        <w:rPr>
          <w:rFonts w:asciiTheme="majorHAnsi" w:hAnsiTheme="majorHAnsi" w:cstheme="majorHAnsi"/>
          <w:b/>
          <w:bCs/>
          <w:color w:val="4472C4" w:themeColor="accent1"/>
          <w:lang w:val="pt-BR"/>
        </w:rPr>
        <w:t>.</w:t>
      </w:r>
    </w:p>
    <w:p w14:paraId="4A520F14"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w:t>
      </w:r>
    </w:p>
    <w:p w14:paraId="49193F84"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Prin această combinație de criterii clare, exemple concrete, sprijin practic și acces la expertiză, ne propunem să construim o comunitate de Puncte Gastronomice Locale care transformă tradițiile într-o resursă vie pentru dezvoltarea comunităților rurale, oferind vizitatorilor o experiență autentică și memorabilă.</w:t>
      </w:r>
    </w:p>
    <w:p w14:paraId="2FE955B8" w14:textId="53E4EED4"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 Demersul se desfășoară sub patronajul Comisiei Naționale a României pentru UNESCO, al Fundației Româno-Americane, al Asociației de Ecoturism din România și al Agenției Naționale a Zonei Montane.</w:t>
      </w:r>
    </w:p>
    <w:p w14:paraId="258A4CEF" w14:textId="77777777" w:rsidR="00541ADD" w:rsidRPr="00541ADD" w:rsidRDefault="00541ADD" w:rsidP="00541ADD">
      <w:pPr>
        <w:spacing w:after="0" w:line="276" w:lineRule="auto"/>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Vă mulțumim,”</w:t>
      </w:r>
    </w:p>
    <w:p w14:paraId="38D355FE" w14:textId="16882AE9" w:rsidR="00541ADD" w:rsidRPr="00541ADD" w:rsidRDefault="00541ADD" w:rsidP="00541ADD">
      <w:pPr>
        <w:spacing w:after="0" w:line="276" w:lineRule="auto"/>
        <w:jc w:val="center"/>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Cu stimă,</w:t>
      </w:r>
    </w:p>
    <w:p w14:paraId="1E96BA08" w14:textId="77777777" w:rsidR="00541ADD" w:rsidRPr="00541ADD" w:rsidRDefault="00541ADD" w:rsidP="00541ADD">
      <w:pPr>
        <w:spacing w:after="0" w:line="276" w:lineRule="auto"/>
        <w:jc w:val="center"/>
        <w:rPr>
          <w:rFonts w:asciiTheme="majorHAnsi" w:hAnsiTheme="majorHAnsi" w:cstheme="majorHAnsi"/>
          <w:b/>
          <w:bCs/>
          <w:color w:val="4472C4" w:themeColor="accent1"/>
          <w:lang w:val="pt-BR"/>
        </w:rPr>
      </w:pPr>
      <w:r w:rsidRPr="00541ADD">
        <w:rPr>
          <w:rFonts w:asciiTheme="majorHAnsi" w:hAnsiTheme="majorHAnsi" w:cstheme="majorHAnsi"/>
          <w:b/>
          <w:bCs/>
          <w:color w:val="4472C4" w:themeColor="accent1"/>
          <w:lang w:val="pt-BR"/>
        </w:rPr>
        <w:t>Asociația Comunelor din România</w:t>
      </w:r>
    </w:p>
    <w:p w14:paraId="1998790C" w14:textId="77777777" w:rsidR="00750596" w:rsidRPr="00541ADD" w:rsidRDefault="00750596" w:rsidP="00541ADD">
      <w:pPr>
        <w:spacing w:after="0" w:line="276" w:lineRule="auto"/>
        <w:rPr>
          <w:rFonts w:asciiTheme="majorHAnsi" w:hAnsiTheme="majorHAnsi" w:cstheme="majorHAnsi"/>
          <w:b/>
          <w:bCs/>
          <w:color w:val="4472C4" w:themeColor="accent1"/>
          <w:lang w:val="pt-BR"/>
        </w:rPr>
      </w:pPr>
    </w:p>
    <w:sectPr w:rsidR="00750596" w:rsidRPr="00541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F4"/>
    <w:rsid w:val="00541ADD"/>
    <w:rsid w:val="00680AF4"/>
    <w:rsid w:val="00750596"/>
    <w:rsid w:val="00A04B97"/>
    <w:rsid w:val="00C2447D"/>
    <w:rsid w:val="00CD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45CE"/>
  <w15:chartTrackingRefBased/>
  <w15:docId w15:val="{12FBB3D2-E486-4F66-A949-768BEDFE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A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A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0A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0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0A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0A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0A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A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A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0A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0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0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0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0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0AF4"/>
    <w:pPr>
      <w:spacing w:before="160"/>
      <w:jc w:val="center"/>
    </w:pPr>
    <w:rPr>
      <w:i/>
      <w:iCs/>
      <w:color w:val="404040" w:themeColor="text1" w:themeTint="BF"/>
    </w:rPr>
  </w:style>
  <w:style w:type="character" w:customStyle="1" w:styleId="QuoteChar">
    <w:name w:val="Quote Char"/>
    <w:basedOn w:val="DefaultParagraphFont"/>
    <w:link w:val="Quote"/>
    <w:uiPriority w:val="29"/>
    <w:rsid w:val="00680AF4"/>
    <w:rPr>
      <w:i/>
      <w:iCs/>
      <w:color w:val="404040" w:themeColor="text1" w:themeTint="BF"/>
    </w:rPr>
  </w:style>
  <w:style w:type="paragraph" w:styleId="ListParagraph">
    <w:name w:val="List Paragraph"/>
    <w:basedOn w:val="Normal"/>
    <w:uiPriority w:val="34"/>
    <w:qFormat/>
    <w:rsid w:val="00680AF4"/>
    <w:pPr>
      <w:ind w:left="720"/>
      <w:contextualSpacing/>
    </w:pPr>
  </w:style>
  <w:style w:type="character" w:styleId="IntenseEmphasis">
    <w:name w:val="Intense Emphasis"/>
    <w:basedOn w:val="DefaultParagraphFont"/>
    <w:uiPriority w:val="21"/>
    <w:qFormat/>
    <w:rsid w:val="00680AF4"/>
    <w:rPr>
      <w:i/>
      <w:iCs/>
      <w:color w:val="2F5496" w:themeColor="accent1" w:themeShade="BF"/>
    </w:rPr>
  </w:style>
  <w:style w:type="paragraph" w:styleId="IntenseQuote">
    <w:name w:val="Intense Quote"/>
    <w:basedOn w:val="Normal"/>
    <w:next w:val="Normal"/>
    <w:link w:val="IntenseQuoteChar"/>
    <w:uiPriority w:val="30"/>
    <w:qFormat/>
    <w:rsid w:val="00680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AF4"/>
    <w:rPr>
      <w:i/>
      <w:iCs/>
      <w:color w:val="2F5496" w:themeColor="accent1" w:themeShade="BF"/>
    </w:rPr>
  </w:style>
  <w:style w:type="character" w:styleId="IntenseReference">
    <w:name w:val="Intense Reference"/>
    <w:basedOn w:val="DefaultParagraphFont"/>
    <w:uiPriority w:val="32"/>
    <w:qFormat/>
    <w:rsid w:val="00680AF4"/>
    <w:rPr>
      <w:b/>
      <w:bCs/>
      <w:smallCaps/>
      <w:color w:val="2F5496" w:themeColor="accent1" w:themeShade="BF"/>
      <w:spacing w:val="5"/>
    </w:rPr>
  </w:style>
  <w:style w:type="character" w:styleId="Hyperlink">
    <w:name w:val="Hyperlink"/>
    <w:basedOn w:val="DefaultParagraphFont"/>
    <w:uiPriority w:val="99"/>
    <w:unhideWhenUsed/>
    <w:rsid w:val="00541ADD"/>
    <w:rPr>
      <w:color w:val="0563C1" w:themeColor="hyperlink"/>
      <w:u w:val="single"/>
    </w:rPr>
  </w:style>
  <w:style w:type="character" w:styleId="UnresolvedMention">
    <w:name w:val="Unresolved Mention"/>
    <w:basedOn w:val="DefaultParagraphFont"/>
    <w:uiPriority w:val="99"/>
    <w:semiHidden/>
    <w:unhideWhenUsed/>
    <w:rsid w:val="0054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te-vechi.acor.ro/sendy/l/PwTLeSt3IlE5jggFe5ZSJw/763YxgCNwWEEJl4f1JSrwEzA/mRiUmSvxU26g0RDwxaw8892Q" TargetMode="External"/><Relationship Id="rId4" Type="http://schemas.openxmlformats.org/officeDocument/2006/relationships/hyperlink" Target="https://site-vechi.acor.ro/sendy/l/PwTLeSt3IlE5jggFe5ZSJw/hHbrG833HnMlzk7swhGBqQ/mRiUmSvxU26g0RDwxaw889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2026-06-30T08:53:00Z</dcterms:created>
  <dcterms:modified xsi:type="dcterms:W3CDTF">2026-06-30T08:53:00Z</dcterms:modified>
</cp:coreProperties>
</file>